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5FBDD">
      <w:pPr>
        <w:numPr>
          <w:numId w:val="0"/>
        </w:numPr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519E6A96">
      <w:pPr>
        <w:numPr>
          <w:numId w:val="0"/>
        </w:numPr>
        <w:jc w:val="center"/>
        <w:rPr>
          <w:rFonts w:hint="eastAsia" w:asciiTheme="minorHAnsi" w:hAnsiTheme="minorHAnsi" w:eastAsiaTheme="minorEastAsia" w:cstheme="minorBidi"/>
          <w:kern w:val="2"/>
          <w:sz w:val="32"/>
          <w:szCs w:val="40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2"/>
          <w:szCs w:val="40"/>
          <w:lang w:val="en-US" w:eastAsia="zh-CN" w:bidi="ar-SA"/>
        </w:rPr>
        <w:t>诸城市浩天药业有限公司</w:t>
      </w:r>
    </w:p>
    <w:p w14:paraId="7EB7A8C6">
      <w:pPr>
        <w:numPr>
          <w:numId w:val="0"/>
        </w:numPr>
        <w:jc w:val="center"/>
        <w:rPr>
          <w:rFonts w:hint="eastAsia" w:asciiTheme="minorHAnsi" w:hAnsiTheme="minorHAnsi" w:eastAsiaTheme="minorEastAsia" w:cstheme="minorBidi"/>
          <w:b/>
          <w:bCs/>
          <w:kern w:val="2"/>
          <w:sz w:val="22"/>
          <w:szCs w:val="28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36"/>
          <w:szCs w:val="44"/>
          <w:lang w:val="en-US" w:eastAsia="zh-CN" w:bidi="ar-SA"/>
        </w:rPr>
        <w:t>2024年度危险废物污染防治信息公示</w:t>
      </w:r>
    </w:p>
    <w:p w14:paraId="38BF76D6">
      <w:pPr>
        <w:numPr>
          <w:numId w:val="0"/>
        </w:numPr>
        <w:spacing w:line="360" w:lineRule="auto"/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 w:cstheme="minorBidi"/>
          <w:kern w:val="2"/>
          <w:sz w:val="28"/>
          <w:szCs w:val="36"/>
          <w:lang w:val="en-US" w:eastAsia="zh-CN" w:bidi="ar-SA"/>
        </w:rPr>
        <w:t>1.</w:t>
      </w: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  <w:t>2024年度</w:t>
      </w:r>
      <w:r>
        <w:rPr>
          <w:rFonts w:hint="eastAsia" w:cstheme="minorBidi"/>
          <w:kern w:val="2"/>
          <w:sz w:val="28"/>
          <w:szCs w:val="36"/>
          <w:lang w:val="en-US" w:eastAsia="zh-CN" w:bidi="ar-SA"/>
        </w:rPr>
        <w:t>危险废物管理工作中，</w:t>
      </w: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  <w:t xml:space="preserve">本公司严格遵循危险废物管理计划，对相关危险废物进行了系统性的合理合法处置，确保所有处理活动均符合国家环保法规和标准，以保障环境安全与公共健康。  </w:t>
      </w:r>
    </w:p>
    <w:p w14:paraId="3DBA2091">
      <w:pPr>
        <w:numPr>
          <w:numId w:val="0"/>
        </w:numPr>
        <w:spacing w:line="360" w:lineRule="auto"/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  <w:r>
        <w:rPr>
          <w:rFonts w:hint="eastAsia" w:cstheme="minorBidi"/>
          <w:kern w:val="2"/>
          <w:sz w:val="28"/>
          <w:szCs w:val="36"/>
          <w:lang w:val="en-US" w:eastAsia="zh-CN" w:bidi="ar-SA"/>
        </w:rPr>
        <w:t>2.</w:t>
      </w: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  <w:t>本年度共实施危险废物转移操作一次，转移过程规范有序，转移总量为</w:t>
      </w:r>
      <w:r>
        <w:rPr>
          <w:rFonts w:hint="eastAsia" w:cstheme="minorBidi"/>
          <w:kern w:val="2"/>
          <w:sz w:val="28"/>
          <w:szCs w:val="36"/>
          <w:lang w:val="en-US" w:eastAsia="zh-CN" w:bidi="ar-SA"/>
        </w:rPr>
        <w:t>3.561</w:t>
      </w: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  <w:t xml:space="preserve">吨，体现了公司对废物管理的严谨态度和合规执行。  </w:t>
      </w:r>
    </w:p>
    <w:p w14:paraId="63C160AE">
      <w:pPr>
        <w:numPr>
          <w:numId w:val="0"/>
        </w:numPr>
        <w:spacing w:line="360" w:lineRule="auto"/>
        <w:rPr>
          <w:rFonts w:hint="eastAsia" w:asciiTheme="minorHAnsi" w:hAnsiTheme="minorHAnsi" w:eastAsiaTheme="minorEastAsia" w:cstheme="minorBidi"/>
          <w:kern w:val="2"/>
          <w:sz w:val="28"/>
          <w:szCs w:val="36"/>
          <w:vertAlign w:val="baseline"/>
          <w:lang w:val="en-US" w:eastAsia="zh-CN" w:bidi="ar-SA"/>
        </w:rPr>
      </w:pPr>
      <w:r>
        <w:rPr>
          <w:rFonts w:hint="eastAsia" w:cstheme="minorBidi"/>
          <w:kern w:val="2"/>
          <w:sz w:val="28"/>
          <w:szCs w:val="36"/>
          <w:lang w:val="en-US" w:eastAsia="zh-CN" w:bidi="ar-SA"/>
        </w:rPr>
        <w:t>3.</w:t>
      </w: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  <w:t>本年度产生的危险废物具体种类、数量已详细记录于</w:t>
      </w:r>
      <w:r>
        <w:rPr>
          <w:rFonts w:hint="eastAsia" w:cstheme="minorBidi"/>
          <w:kern w:val="2"/>
          <w:sz w:val="28"/>
          <w:szCs w:val="36"/>
          <w:lang w:val="en-US" w:eastAsia="zh-CN" w:bidi="ar-SA"/>
        </w:rPr>
        <w:t>下</w:t>
      </w: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  <w:t>表</w:t>
      </w:r>
      <w:r>
        <w:rPr>
          <w:rFonts w:hint="eastAsia" w:cstheme="minorBidi"/>
          <w:kern w:val="2"/>
          <w:sz w:val="28"/>
          <w:szCs w:val="36"/>
          <w:lang w:val="en-US" w:eastAsia="zh-CN" w:bidi="ar-SA"/>
        </w:rPr>
        <w:t>中。</w:t>
      </w:r>
      <w:r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  <w:t>全面展示了废物的来源与处置情况，便于公众查阅与监督。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130"/>
        <w:gridCol w:w="2130"/>
        <w:gridCol w:w="2131"/>
        <w:gridCol w:w="2131"/>
      </w:tblGrid>
      <w:tr w14:paraId="5EC76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 w14:paraId="02D378A6">
            <w:pPr>
              <w:numPr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  <w:t>名称</w:t>
            </w:r>
          </w:p>
        </w:tc>
        <w:tc>
          <w:tcPr>
            <w:tcW w:w="2130" w:type="dxa"/>
            <w:vAlign w:val="center"/>
          </w:tcPr>
          <w:p w14:paraId="77D7A02E">
            <w:pPr>
              <w:numPr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  <w:t>危废代码</w:t>
            </w:r>
          </w:p>
        </w:tc>
        <w:tc>
          <w:tcPr>
            <w:tcW w:w="2131" w:type="dxa"/>
            <w:vAlign w:val="center"/>
          </w:tcPr>
          <w:p w14:paraId="4A69015F">
            <w:pPr>
              <w:numPr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  <w:t>类别</w:t>
            </w:r>
          </w:p>
        </w:tc>
        <w:tc>
          <w:tcPr>
            <w:tcW w:w="2131" w:type="dxa"/>
            <w:vAlign w:val="center"/>
          </w:tcPr>
          <w:p w14:paraId="397D682E">
            <w:pPr>
              <w:numPr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  <w:t>数量(t)</w:t>
            </w:r>
          </w:p>
        </w:tc>
      </w:tr>
      <w:tr w14:paraId="1EF04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 w14:paraId="58D4FD7F">
            <w:pPr>
              <w:numPr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  <w:t>废机油</w:t>
            </w:r>
          </w:p>
        </w:tc>
        <w:tc>
          <w:tcPr>
            <w:tcW w:w="2130" w:type="dxa"/>
            <w:vAlign w:val="center"/>
          </w:tcPr>
          <w:p w14:paraId="1D722D6E">
            <w:pPr>
              <w:numPr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  <w:t>900-217-08</w:t>
            </w:r>
          </w:p>
        </w:tc>
        <w:tc>
          <w:tcPr>
            <w:tcW w:w="2131" w:type="dxa"/>
            <w:vAlign w:val="center"/>
          </w:tcPr>
          <w:p w14:paraId="1236201F">
            <w:pPr>
              <w:numPr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  <w:t>HW08</w:t>
            </w:r>
          </w:p>
        </w:tc>
        <w:tc>
          <w:tcPr>
            <w:tcW w:w="2131" w:type="dxa"/>
            <w:vAlign w:val="center"/>
          </w:tcPr>
          <w:p w14:paraId="2CAD0E22">
            <w:pPr>
              <w:numPr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  <w:t>0.37</w:t>
            </w:r>
          </w:p>
        </w:tc>
      </w:tr>
      <w:tr w14:paraId="469F5B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 w14:paraId="3B224FE7">
            <w:pPr>
              <w:numPr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  <w:t>废油桶</w:t>
            </w:r>
          </w:p>
        </w:tc>
        <w:tc>
          <w:tcPr>
            <w:tcW w:w="2130" w:type="dxa"/>
            <w:vAlign w:val="center"/>
          </w:tcPr>
          <w:p w14:paraId="30984127">
            <w:pPr>
              <w:numPr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  <w:t>900-249-08</w:t>
            </w:r>
          </w:p>
        </w:tc>
        <w:tc>
          <w:tcPr>
            <w:tcW w:w="2131" w:type="dxa"/>
            <w:vAlign w:val="center"/>
          </w:tcPr>
          <w:p w14:paraId="706EAE9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  <w:t>HW08</w:t>
            </w:r>
          </w:p>
        </w:tc>
        <w:tc>
          <w:tcPr>
            <w:tcW w:w="2131" w:type="dxa"/>
            <w:vAlign w:val="center"/>
          </w:tcPr>
          <w:p w14:paraId="2E6C74F7">
            <w:pPr>
              <w:numPr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  <w:t>01</w:t>
            </w:r>
          </w:p>
        </w:tc>
      </w:tr>
      <w:tr w14:paraId="3C31F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 w14:paraId="60A34599">
            <w:pPr>
              <w:numPr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  <w:t>废树脂</w:t>
            </w:r>
          </w:p>
        </w:tc>
        <w:tc>
          <w:tcPr>
            <w:tcW w:w="2130" w:type="dxa"/>
            <w:vAlign w:val="center"/>
          </w:tcPr>
          <w:p w14:paraId="796AC5C7">
            <w:pPr>
              <w:numPr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  <w:t>265-104-13</w:t>
            </w:r>
          </w:p>
        </w:tc>
        <w:tc>
          <w:tcPr>
            <w:tcW w:w="2131" w:type="dxa"/>
            <w:vAlign w:val="center"/>
          </w:tcPr>
          <w:p w14:paraId="34BA8E4A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  <w:t>HW13</w:t>
            </w:r>
          </w:p>
        </w:tc>
        <w:tc>
          <w:tcPr>
            <w:tcW w:w="2131" w:type="dxa"/>
            <w:vAlign w:val="center"/>
          </w:tcPr>
          <w:p w14:paraId="4BEE285D">
            <w:pPr>
              <w:numPr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  <w:t>0.5</w:t>
            </w:r>
          </w:p>
        </w:tc>
      </w:tr>
      <w:tr w14:paraId="2E82B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 w14:paraId="7FB08F1D">
            <w:pPr>
              <w:numPr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  <w:t>废活性炭</w:t>
            </w:r>
          </w:p>
        </w:tc>
        <w:tc>
          <w:tcPr>
            <w:tcW w:w="2130" w:type="dxa"/>
            <w:vAlign w:val="center"/>
          </w:tcPr>
          <w:p w14:paraId="358BF09F">
            <w:pPr>
              <w:numPr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  <w:t>900-039-49</w:t>
            </w:r>
          </w:p>
        </w:tc>
        <w:tc>
          <w:tcPr>
            <w:tcW w:w="2131" w:type="dxa"/>
            <w:vAlign w:val="center"/>
          </w:tcPr>
          <w:p w14:paraId="2FD64801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  <w:t>HW49</w:t>
            </w:r>
          </w:p>
        </w:tc>
        <w:tc>
          <w:tcPr>
            <w:tcW w:w="2131" w:type="dxa"/>
            <w:vAlign w:val="center"/>
          </w:tcPr>
          <w:p w14:paraId="6FEE97AE">
            <w:pPr>
              <w:numPr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  <w:t>0.5</w:t>
            </w:r>
          </w:p>
        </w:tc>
      </w:tr>
      <w:tr w14:paraId="3C2769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 w14:paraId="71EB6B7A">
            <w:pPr>
              <w:numPr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  <w:t>废试剂瓶</w:t>
            </w:r>
          </w:p>
        </w:tc>
        <w:tc>
          <w:tcPr>
            <w:tcW w:w="2130" w:type="dxa"/>
            <w:vAlign w:val="center"/>
          </w:tcPr>
          <w:p w14:paraId="5784CBBD">
            <w:pPr>
              <w:numPr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  <w:t>900-047-49</w:t>
            </w:r>
          </w:p>
        </w:tc>
        <w:tc>
          <w:tcPr>
            <w:tcW w:w="2131" w:type="dxa"/>
            <w:vAlign w:val="center"/>
          </w:tcPr>
          <w:p w14:paraId="12A26D30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  <w:t>HW49</w:t>
            </w:r>
          </w:p>
        </w:tc>
        <w:tc>
          <w:tcPr>
            <w:tcW w:w="2131" w:type="dxa"/>
            <w:vAlign w:val="center"/>
          </w:tcPr>
          <w:p w14:paraId="34B4E9EB">
            <w:pPr>
              <w:numPr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  <w:t>0.6236</w:t>
            </w:r>
          </w:p>
        </w:tc>
      </w:tr>
      <w:tr w14:paraId="41B64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130" w:type="dxa"/>
            <w:vAlign w:val="center"/>
          </w:tcPr>
          <w:p w14:paraId="210884C8">
            <w:pPr>
              <w:numPr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i w:val="0"/>
                <w:iCs w:val="0"/>
                <w:caps w:val="0"/>
                <w:color w:val="606266"/>
                <w:spacing w:val="0"/>
                <w:sz w:val="21"/>
                <w:szCs w:val="21"/>
                <w:shd w:val="clear" w:fill="F5F7F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  <w:t>废有机溶剂</w:t>
            </w:r>
          </w:p>
        </w:tc>
        <w:tc>
          <w:tcPr>
            <w:tcW w:w="2130" w:type="dxa"/>
            <w:vAlign w:val="center"/>
          </w:tcPr>
          <w:p w14:paraId="1A13800C">
            <w:pPr>
              <w:numPr>
                <w:numId w:val="0"/>
              </w:numPr>
              <w:spacing w:line="360" w:lineRule="auto"/>
              <w:jc w:val="center"/>
              <w:rPr>
                <w:rFonts w:hint="default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  <w:t>900-047-49</w:t>
            </w:r>
          </w:p>
        </w:tc>
        <w:tc>
          <w:tcPr>
            <w:tcW w:w="2131" w:type="dxa"/>
            <w:vAlign w:val="center"/>
          </w:tcPr>
          <w:p w14:paraId="238870DC">
            <w:pPr>
              <w:numPr>
                <w:ilvl w:val="0"/>
                <w:numId w:val="0"/>
              </w:numPr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  <w:t>HW49</w:t>
            </w:r>
          </w:p>
        </w:tc>
        <w:tc>
          <w:tcPr>
            <w:tcW w:w="2131" w:type="dxa"/>
            <w:vAlign w:val="center"/>
          </w:tcPr>
          <w:p w14:paraId="097DF22F">
            <w:pPr>
              <w:numPr>
                <w:numId w:val="0"/>
              </w:numPr>
              <w:spacing w:line="360" w:lineRule="auto"/>
              <w:jc w:val="center"/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8"/>
                <w:szCs w:val="36"/>
                <w:vertAlign w:val="baseline"/>
                <w:lang w:val="en-US" w:eastAsia="zh-CN" w:bidi="ar-SA"/>
              </w:rPr>
              <w:t>1.172</w:t>
            </w:r>
          </w:p>
        </w:tc>
      </w:tr>
    </w:tbl>
    <w:p w14:paraId="661F912B">
      <w:pPr>
        <w:numPr>
          <w:numId w:val="0"/>
        </w:numPr>
        <w:spacing w:line="360" w:lineRule="auto"/>
        <w:rPr>
          <w:rFonts w:hint="eastAsia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</w:p>
    <w:p w14:paraId="75FAAD66">
      <w:pPr>
        <w:numPr>
          <w:numId w:val="0"/>
        </w:numPr>
        <w:spacing w:line="360" w:lineRule="auto"/>
        <w:rPr>
          <w:rFonts w:hint="default" w:asciiTheme="minorHAnsi" w:hAnsiTheme="minorHAnsi" w:eastAsiaTheme="minorEastAsia" w:cstheme="minorBidi"/>
          <w:kern w:val="2"/>
          <w:sz w:val="28"/>
          <w:szCs w:val="36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2B54D4"/>
    <w:rsid w:val="12356BD1"/>
    <w:rsid w:val="156C4233"/>
    <w:rsid w:val="49061B02"/>
    <w:rsid w:val="74A1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2025-09-08T01:51:28Z</dcterms:created>
  <dc:creator>Administrator</dc:creator>
  <cp:lastModifiedBy>斑斓</cp:lastModifiedBy>
  <dcterms:modified xsi:type="dcterms:W3CDTF">2025-09-08T06:34:40Z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eyJoZGlkIjoiYzYyYzg0NmNkMTI2YWM0MjQ4MmY4OGFiNzVjZmZmOWEiLCJ1c2VySWQiOiIzODQwNjE2NDQifQ==</vt:lpwstr>
  </property>
  <property fmtid="{D5CDD505-2E9C-101B-9397-08002B2CF9AE}" pid="4" name="ICV">
    <vt:lpwstr>AB4E23BD5C71441795600D599AF2AF73_12</vt:lpwstr>
  </property>
</Properties>
</file>